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0C4D87" w14:textId="77777777" w:rsidR="009C2BA6" w:rsidRPr="00101776" w:rsidRDefault="00000000">
      <w:pPr>
        <w:pStyle w:val="Title"/>
        <w:rPr>
          <w:rFonts w:ascii="Garamond" w:hAnsi="Garamond"/>
          <w:sz w:val="24"/>
          <w:szCs w:val="24"/>
        </w:rPr>
      </w:pPr>
      <w:r w:rsidRPr="00101776">
        <w:rPr>
          <w:rFonts w:ascii="Garamond" w:hAnsi="Garamond"/>
          <w:sz w:val="24"/>
          <w:szCs w:val="24"/>
        </w:rPr>
        <w:t>DWC 201 Midterm Study Guide</w:t>
      </w:r>
    </w:p>
    <w:p w14:paraId="1BE89A8D" w14:textId="77777777" w:rsidR="009C2BA6" w:rsidRPr="00101776" w:rsidRDefault="00000000">
      <w:pPr>
        <w:pStyle w:val="Heading1"/>
        <w:rPr>
          <w:rFonts w:ascii="Garamond" w:hAnsi="Garamond"/>
          <w:i/>
          <w:iCs/>
          <w:sz w:val="24"/>
          <w:szCs w:val="24"/>
        </w:rPr>
      </w:pPr>
      <w:r w:rsidRPr="00101776">
        <w:rPr>
          <w:rFonts w:ascii="Garamond" w:hAnsi="Garamond"/>
          <w:i/>
          <w:iCs/>
          <w:sz w:val="24"/>
          <w:szCs w:val="24"/>
        </w:rPr>
        <w:t>Preparing for the exam</w:t>
      </w:r>
    </w:p>
    <w:p w14:paraId="457DCD4B" w14:textId="77777777" w:rsidR="009C2BA6" w:rsidRPr="00101776" w:rsidRDefault="00000000">
      <w:pPr>
        <w:rPr>
          <w:rFonts w:ascii="Garamond" w:hAnsi="Garamond"/>
          <w:sz w:val="24"/>
          <w:szCs w:val="24"/>
        </w:rPr>
      </w:pPr>
      <w:r w:rsidRPr="00101776">
        <w:rPr>
          <w:rFonts w:ascii="Garamond" w:hAnsi="Garamond"/>
          <w:sz w:val="24"/>
          <w:szCs w:val="24"/>
        </w:rPr>
        <w:t>The current exam draft provides 50 minutes for two quotation responses and one synthetic essay. A workable plan is about 20 minutes for the quotation responses, 25 minutes for the essay, and 5 minutes for planning and review. Follow the instructions on the midterm paper for choices and grouping.</w:t>
      </w:r>
    </w:p>
    <w:p w14:paraId="06398753" w14:textId="77777777" w:rsidR="009C2BA6" w:rsidRPr="00101776" w:rsidRDefault="00000000">
      <w:pPr>
        <w:rPr>
          <w:rFonts w:ascii="Garamond" w:hAnsi="Garamond"/>
          <w:sz w:val="24"/>
          <w:szCs w:val="24"/>
        </w:rPr>
      </w:pPr>
      <w:r w:rsidRPr="00101776">
        <w:rPr>
          <w:rFonts w:ascii="Garamond" w:hAnsi="Garamond"/>
          <w:sz w:val="24"/>
          <w:szCs w:val="24"/>
        </w:rPr>
        <w:t>For a quotation response, identify the author or issuing authority, the title, and the original publication or issuance year. Identify the speaker when relevant. Explain the immediate situation or argument, analyze particular words or claims, and show how the passage develops a major theme. A theme label such as “oppression” is only a starting point.</w:t>
      </w:r>
    </w:p>
    <w:p w14:paraId="68091CCB" w14:textId="77777777" w:rsidR="009C2BA6" w:rsidRPr="00101776" w:rsidRDefault="00000000">
      <w:pPr>
        <w:rPr>
          <w:rFonts w:ascii="Garamond" w:hAnsi="Garamond"/>
          <w:sz w:val="24"/>
          <w:szCs w:val="24"/>
        </w:rPr>
      </w:pPr>
      <w:r w:rsidRPr="00101776">
        <w:rPr>
          <w:rFonts w:ascii="Garamond" w:hAnsi="Garamond"/>
          <w:sz w:val="24"/>
          <w:szCs w:val="24"/>
        </w:rPr>
        <w:t>For the synthetic essay, compare two assigned texts from different course units. Explain a claim to protect or improve people, the authority exercised, and the ability of those affected to refuse or challenge it. Defend a judgment about that authority and consider a serious objection. Use specific evidence and explain a meaningful difference between the cases.</w:t>
      </w:r>
    </w:p>
    <w:p w14:paraId="40A286F1" w14:textId="77777777" w:rsidR="009C2BA6" w:rsidRPr="00101776" w:rsidRDefault="00000000">
      <w:pPr>
        <w:pStyle w:val="Heading1"/>
        <w:rPr>
          <w:rFonts w:ascii="Garamond" w:hAnsi="Garamond"/>
          <w:i/>
          <w:iCs/>
          <w:sz w:val="24"/>
          <w:szCs w:val="24"/>
        </w:rPr>
      </w:pPr>
      <w:r w:rsidRPr="00101776">
        <w:rPr>
          <w:rFonts w:ascii="Garamond" w:hAnsi="Garamond"/>
          <w:i/>
          <w:iCs/>
          <w:sz w:val="24"/>
          <w:szCs w:val="24"/>
        </w:rPr>
        <w:t>Defining the West</w:t>
      </w:r>
    </w:p>
    <w:p w14:paraId="361F944F"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Samuel P. Huntington, </w:t>
      </w:r>
      <w:r w:rsidRPr="00101776">
        <w:rPr>
          <w:rFonts w:ascii="Garamond" w:hAnsi="Garamond"/>
          <w:i/>
          <w:sz w:val="24"/>
          <w:szCs w:val="24"/>
        </w:rPr>
        <w:t>The Clash of Civilizations?</w:t>
      </w:r>
      <w:r w:rsidRPr="00101776">
        <w:rPr>
          <w:rFonts w:ascii="Garamond" w:hAnsi="Garamond"/>
          <w:b w:val="0"/>
          <w:sz w:val="24"/>
          <w:szCs w:val="24"/>
        </w:rPr>
        <w:t xml:space="preserve"> (1993; both excerpts)</w:t>
      </w:r>
    </w:p>
    <w:p w14:paraId="74895C7C" w14:textId="2604AEBD" w:rsidR="009C2BA6" w:rsidRPr="00101776" w:rsidRDefault="00000000">
      <w:pPr>
        <w:keepLines/>
        <w:rPr>
          <w:rFonts w:ascii="Garamond" w:hAnsi="Garamond"/>
          <w:sz w:val="24"/>
          <w:szCs w:val="24"/>
        </w:rPr>
      </w:pPr>
      <w:r w:rsidRPr="00101776">
        <w:rPr>
          <w:rFonts w:ascii="Garamond" w:hAnsi="Garamond"/>
          <w:sz w:val="24"/>
          <w:szCs w:val="24"/>
        </w:rPr>
        <w:t xml:space="preserve">Civilizational identity; conflict; political explanation. What </w:t>
      </w:r>
      <w:r w:rsidR="003E3E95" w:rsidRPr="00101776">
        <w:rPr>
          <w:rFonts w:ascii="Garamond" w:hAnsi="Garamond"/>
          <w:sz w:val="24"/>
          <w:szCs w:val="24"/>
        </w:rPr>
        <w:t>is a</w:t>
      </w:r>
      <w:r w:rsidRPr="00101776">
        <w:rPr>
          <w:rFonts w:ascii="Garamond" w:hAnsi="Garamond"/>
          <w:sz w:val="24"/>
          <w:szCs w:val="24"/>
        </w:rPr>
        <w:t xml:space="preserve"> civilizational explanation?</w:t>
      </w:r>
    </w:p>
    <w:p w14:paraId="54ADED51"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Stuart Hall, </w:t>
      </w:r>
      <w:r w:rsidRPr="00101776">
        <w:rPr>
          <w:rFonts w:ascii="Garamond" w:hAnsi="Garamond"/>
          <w:i/>
          <w:sz w:val="24"/>
          <w:szCs w:val="24"/>
        </w:rPr>
        <w:t>The West and the Rest</w:t>
      </w:r>
      <w:r w:rsidRPr="00101776">
        <w:rPr>
          <w:rFonts w:ascii="Garamond" w:hAnsi="Garamond"/>
          <w:b w:val="0"/>
          <w:sz w:val="24"/>
          <w:szCs w:val="24"/>
        </w:rPr>
        <w:t xml:space="preserve"> (1992)</w:t>
      </w:r>
    </w:p>
    <w:p w14:paraId="2F762866" w14:textId="1F2FE544" w:rsidR="009C2BA6" w:rsidRPr="00101776" w:rsidRDefault="00000000">
      <w:pPr>
        <w:keepLines/>
        <w:rPr>
          <w:rFonts w:ascii="Garamond" w:hAnsi="Garamond"/>
          <w:sz w:val="24"/>
          <w:szCs w:val="24"/>
        </w:rPr>
      </w:pPr>
      <w:r w:rsidRPr="00101776">
        <w:rPr>
          <w:rFonts w:ascii="Garamond" w:hAnsi="Garamond"/>
          <w:sz w:val="24"/>
          <w:szCs w:val="24"/>
        </w:rPr>
        <w:t xml:space="preserve">Discourse; classification; historical identity. </w:t>
      </w:r>
      <w:r w:rsidR="003E3E95" w:rsidRPr="00101776">
        <w:rPr>
          <w:rFonts w:ascii="Garamond" w:hAnsi="Garamond"/>
          <w:sz w:val="24"/>
          <w:szCs w:val="24"/>
        </w:rPr>
        <w:t>Where do social categories come from</w:t>
      </w:r>
      <w:r w:rsidRPr="00101776">
        <w:rPr>
          <w:rFonts w:ascii="Garamond" w:hAnsi="Garamond"/>
          <w:sz w:val="24"/>
          <w:szCs w:val="24"/>
        </w:rPr>
        <w:t>?</w:t>
      </w:r>
    </w:p>
    <w:p w14:paraId="62F8A114"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Edward W. Said, </w:t>
      </w:r>
      <w:r w:rsidRPr="00101776">
        <w:rPr>
          <w:rFonts w:ascii="Garamond" w:hAnsi="Garamond"/>
          <w:i/>
          <w:sz w:val="24"/>
          <w:szCs w:val="24"/>
        </w:rPr>
        <w:t>The Clash of Ignorance</w:t>
      </w:r>
      <w:r w:rsidRPr="00101776">
        <w:rPr>
          <w:rFonts w:ascii="Garamond" w:hAnsi="Garamond"/>
          <w:b w:val="0"/>
          <w:sz w:val="24"/>
          <w:szCs w:val="24"/>
        </w:rPr>
        <w:t xml:space="preserve"> (2001)</w:t>
      </w:r>
    </w:p>
    <w:p w14:paraId="774855CD" w14:textId="71B9E9D0" w:rsidR="009C2BA6" w:rsidRPr="00101776" w:rsidRDefault="00000000">
      <w:pPr>
        <w:keepLines/>
        <w:rPr>
          <w:rFonts w:ascii="Garamond" w:hAnsi="Garamond"/>
          <w:sz w:val="24"/>
          <w:szCs w:val="24"/>
        </w:rPr>
      </w:pPr>
      <w:r w:rsidRPr="00101776">
        <w:rPr>
          <w:rFonts w:ascii="Garamond" w:hAnsi="Garamond"/>
          <w:sz w:val="24"/>
          <w:szCs w:val="24"/>
        </w:rPr>
        <w:t xml:space="preserve">Representation; cultural boundaries; internal differences. What does Said think </w:t>
      </w:r>
      <w:r w:rsidR="003E3E95" w:rsidRPr="00101776">
        <w:rPr>
          <w:rFonts w:ascii="Garamond" w:hAnsi="Garamond"/>
          <w:sz w:val="24"/>
          <w:szCs w:val="24"/>
        </w:rPr>
        <w:t>we miss by thinking in terms of civilizations</w:t>
      </w:r>
      <w:r w:rsidRPr="00101776">
        <w:rPr>
          <w:rFonts w:ascii="Garamond" w:hAnsi="Garamond"/>
          <w:sz w:val="24"/>
          <w:szCs w:val="24"/>
        </w:rPr>
        <w:t>?</w:t>
      </w:r>
    </w:p>
    <w:p w14:paraId="2D109C00" w14:textId="77777777" w:rsidR="009C2BA6" w:rsidRPr="00101776" w:rsidRDefault="00000000">
      <w:pPr>
        <w:pStyle w:val="Heading1"/>
        <w:rPr>
          <w:rFonts w:ascii="Garamond" w:hAnsi="Garamond"/>
          <w:i/>
          <w:iCs/>
          <w:sz w:val="24"/>
          <w:szCs w:val="24"/>
        </w:rPr>
      </w:pPr>
      <w:r w:rsidRPr="00101776">
        <w:rPr>
          <w:rFonts w:ascii="Garamond" w:hAnsi="Garamond"/>
          <w:i/>
          <w:iCs/>
          <w:sz w:val="24"/>
          <w:szCs w:val="24"/>
        </w:rPr>
        <w:t>Catholicism and modern political authority</w:t>
      </w:r>
    </w:p>
    <w:p w14:paraId="713D6F82"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Pius IX, </w:t>
      </w:r>
      <w:r w:rsidRPr="00101776">
        <w:rPr>
          <w:rFonts w:ascii="Garamond" w:hAnsi="Garamond"/>
          <w:i/>
          <w:sz w:val="24"/>
          <w:szCs w:val="24"/>
        </w:rPr>
        <w:t>Syllabus of Errors</w:t>
      </w:r>
      <w:r w:rsidRPr="00101776">
        <w:rPr>
          <w:rFonts w:ascii="Garamond" w:hAnsi="Garamond"/>
          <w:b w:val="0"/>
          <w:sz w:val="24"/>
          <w:szCs w:val="24"/>
        </w:rPr>
        <w:t xml:space="preserve"> (1864; propositions 15–18, 77–80)</w:t>
      </w:r>
    </w:p>
    <w:p w14:paraId="5CEBC151" w14:textId="77777777" w:rsidR="009C2BA6" w:rsidRPr="00101776" w:rsidRDefault="00000000">
      <w:pPr>
        <w:keepLines/>
        <w:rPr>
          <w:rFonts w:ascii="Garamond" w:hAnsi="Garamond"/>
          <w:sz w:val="24"/>
          <w:szCs w:val="24"/>
        </w:rPr>
      </w:pPr>
      <w:r w:rsidRPr="00101776">
        <w:rPr>
          <w:rFonts w:ascii="Garamond" w:hAnsi="Garamond"/>
          <w:sz w:val="24"/>
          <w:szCs w:val="24"/>
        </w:rPr>
        <w:t>Religious truth; condemned propositions; public freedom. What grounds legitimate authority in these selections?</w:t>
      </w:r>
    </w:p>
    <w:p w14:paraId="5B641A43"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John T. McGreevy, </w:t>
      </w:r>
      <w:r w:rsidRPr="00101776">
        <w:rPr>
          <w:rFonts w:ascii="Garamond" w:hAnsi="Garamond"/>
          <w:i/>
          <w:sz w:val="24"/>
          <w:szCs w:val="24"/>
        </w:rPr>
        <w:t>Catholicism</w:t>
      </w:r>
      <w:r w:rsidRPr="00101776">
        <w:rPr>
          <w:rFonts w:ascii="Garamond" w:hAnsi="Garamond"/>
          <w:b w:val="0"/>
          <w:sz w:val="24"/>
          <w:szCs w:val="24"/>
        </w:rPr>
        <w:t xml:space="preserve"> (2022; chapters 1–3)</w:t>
      </w:r>
    </w:p>
    <w:p w14:paraId="2A507460" w14:textId="77777777" w:rsidR="009C2BA6" w:rsidRPr="00101776" w:rsidRDefault="00000000">
      <w:pPr>
        <w:keepLines/>
        <w:rPr>
          <w:rFonts w:ascii="Garamond" w:hAnsi="Garamond"/>
          <w:sz w:val="24"/>
          <w:szCs w:val="24"/>
        </w:rPr>
      </w:pPr>
      <w:r w:rsidRPr="00101776">
        <w:rPr>
          <w:rFonts w:ascii="Garamond" w:hAnsi="Garamond"/>
          <w:sz w:val="24"/>
          <w:szCs w:val="24"/>
        </w:rPr>
        <w:t>Revolution; revival; democracy; church and state. How do Catholics differ in their responses to modern politics?</w:t>
      </w:r>
    </w:p>
    <w:p w14:paraId="6B8D6043" w14:textId="77777777" w:rsidR="009C2BA6" w:rsidRPr="00101776" w:rsidRDefault="00000000">
      <w:pPr>
        <w:pStyle w:val="Heading1"/>
        <w:rPr>
          <w:rFonts w:ascii="Garamond" w:hAnsi="Garamond"/>
          <w:i/>
          <w:iCs/>
          <w:sz w:val="24"/>
          <w:szCs w:val="24"/>
        </w:rPr>
      </w:pPr>
      <w:r w:rsidRPr="00101776">
        <w:rPr>
          <w:rFonts w:ascii="Garamond" w:hAnsi="Garamond"/>
          <w:i/>
          <w:iCs/>
          <w:sz w:val="24"/>
          <w:szCs w:val="24"/>
        </w:rPr>
        <w:t>Industrialization and the Great Divergence</w:t>
      </w:r>
    </w:p>
    <w:p w14:paraId="29B2DEEE"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Kenneth Pomeranz, </w:t>
      </w:r>
      <w:r w:rsidRPr="00101776">
        <w:rPr>
          <w:rFonts w:ascii="Garamond" w:hAnsi="Garamond"/>
          <w:i/>
          <w:sz w:val="24"/>
          <w:szCs w:val="24"/>
        </w:rPr>
        <w:t>The Great Divergence</w:t>
      </w:r>
      <w:r w:rsidRPr="00101776">
        <w:rPr>
          <w:rFonts w:ascii="Garamond" w:hAnsi="Garamond"/>
          <w:b w:val="0"/>
          <w:sz w:val="24"/>
          <w:szCs w:val="24"/>
        </w:rPr>
        <w:t xml:space="preserve"> (2000; pp. 1–27)</w:t>
      </w:r>
    </w:p>
    <w:p w14:paraId="4E1F1C37" w14:textId="5EB216D4" w:rsidR="009C2BA6" w:rsidRPr="00101776" w:rsidRDefault="00000000">
      <w:pPr>
        <w:keepLines/>
        <w:rPr>
          <w:rFonts w:ascii="Garamond" w:hAnsi="Garamond"/>
          <w:sz w:val="24"/>
          <w:szCs w:val="24"/>
        </w:rPr>
      </w:pPr>
      <w:r w:rsidRPr="00101776">
        <w:rPr>
          <w:rFonts w:ascii="Garamond" w:hAnsi="Garamond"/>
          <w:sz w:val="24"/>
          <w:szCs w:val="24"/>
        </w:rPr>
        <w:t xml:space="preserve">Regional comparison; resources; contingency. What </w:t>
      </w:r>
      <w:r w:rsidR="003E3E95" w:rsidRPr="00101776">
        <w:rPr>
          <w:rFonts w:ascii="Garamond" w:hAnsi="Garamond"/>
          <w:sz w:val="24"/>
          <w:szCs w:val="24"/>
        </w:rPr>
        <w:t>do we need to explain</w:t>
      </w:r>
      <w:r w:rsidRPr="00101776">
        <w:rPr>
          <w:rFonts w:ascii="Garamond" w:hAnsi="Garamond"/>
          <w:sz w:val="24"/>
          <w:szCs w:val="24"/>
        </w:rPr>
        <w:t xml:space="preserve"> about Europe’s industrial transformation? Revisit alongside Justin Jacobs, Beyond Huaxia episode 23 (2018).</w:t>
      </w:r>
    </w:p>
    <w:p w14:paraId="1A8A35F6"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Eric Hobsbawm, </w:t>
      </w:r>
      <w:r w:rsidRPr="00101776">
        <w:rPr>
          <w:rFonts w:ascii="Garamond" w:hAnsi="Garamond"/>
          <w:i/>
          <w:sz w:val="24"/>
          <w:szCs w:val="24"/>
        </w:rPr>
        <w:t>The Age of Revolution</w:t>
      </w:r>
      <w:r w:rsidRPr="00101776">
        <w:rPr>
          <w:rFonts w:ascii="Garamond" w:hAnsi="Garamond"/>
          <w:b w:val="0"/>
          <w:sz w:val="24"/>
          <w:szCs w:val="24"/>
        </w:rPr>
        <w:t xml:space="preserve"> (1962; pp. 1–53)</w:t>
      </w:r>
    </w:p>
    <w:p w14:paraId="4344D8E3" w14:textId="77777777" w:rsidR="009C2BA6" w:rsidRPr="00101776" w:rsidRDefault="00000000">
      <w:pPr>
        <w:keepLines/>
        <w:rPr>
          <w:rFonts w:ascii="Garamond" w:hAnsi="Garamond"/>
          <w:sz w:val="24"/>
          <w:szCs w:val="24"/>
        </w:rPr>
      </w:pPr>
      <w:r w:rsidRPr="00101776">
        <w:rPr>
          <w:rFonts w:ascii="Garamond" w:hAnsi="Garamond"/>
          <w:sz w:val="24"/>
          <w:szCs w:val="24"/>
        </w:rPr>
        <w:t>Industrial change; markets; empire; labor. How are productive power and freedom related?</w:t>
      </w:r>
    </w:p>
    <w:p w14:paraId="434150FC" w14:textId="77777777" w:rsidR="009C2BA6" w:rsidRPr="00101776" w:rsidRDefault="00000000">
      <w:pPr>
        <w:pStyle w:val="Heading1"/>
        <w:pageBreakBefore/>
        <w:spacing w:before="0"/>
        <w:rPr>
          <w:rFonts w:ascii="Garamond" w:hAnsi="Garamond"/>
          <w:i/>
          <w:iCs/>
          <w:sz w:val="24"/>
          <w:szCs w:val="24"/>
        </w:rPr>
      </w:pPr>
      <w:r w:rsidRPr="00101776">
        <w:rPr>
          <w:rFonts w:ascii="Garamond" w:hAnsi="Garamond"/>
          <w:i/>
          <w:iCs/>
          <w:sz w:val="24"/>
          <w:szCs w:val="24"/>
        </w:rPr>
        <w:lastRenderedPageBreak/>
        <w:t>Slavery and social relations</w:t>
      </w:r>
    </w:p>
    <w:p w14:paraId="3BCCA931"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Orlando Patterson, </w:t>
      </w:r>
      <w:r w:rsidRPr="00101776">
        <w:rPr>
          <w:rFonts w:ascii="Garamond" w:hAnsi="Garamond"/>
          <w:i/>
          <w:sz w:val="24"/>
          <w:szCs w:val="24"/>
        </w:rPr>
        <w:t>The Constituent Elements of Slavery</w:t>
      </w:r>
      <w:r w:rsidRPr="00101776">
        <w:rPr>
          <w:rFonts w:ascii="Garamond" w:hAnsi="Garamond"/>
          <w:b w:val="0"/>
          <w:sz w:val="24"/>
          <w:szCs w:val="24"/>
        </w:rPr>
        <w:t xml:space="preserve"> (1982)</w:t>
      </w:r>
    </w:p>
    <w:p w14:paraId="358387E1" w14:textId="77777777" w:rsidR="009C2BA6" w:rsidRPr="00101776" w:rsidRDefault="00000000">
      <w:pPr>
        <w:keepLines/>
        <w:rPr>
          <w:rFonts w:ascii="Garamond" w:hAnsi="Garamond"/>
          <w:sz w:val="24"/>
          <w:szCs w:val="24"/>
        </w:rPr>
      </w:pPr>
      <w:r w:rsidRPr="00101776">
        <w:rPr>
          <w:rFonts w:ascii="Garamond" w:hAnsi="Garamond"/>
          <w:sz w:val="24"/>
          <w:szCs w:val="24"/>
        </w:rPr>
        <w:t>Domination; natal alienation; dishonor; social death. What distinguishes slavery from other forms of dependence?</w:t>
      </w:r>
    </w:p>
    <w:p w14:paraId="12009CBB"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Ahmad Baba, </w:t>
      </w:r>
      <w:r w:rsidRPr="00101776">
        <w:rPr>
          <w:rFonts w:ascii="Garamond" w:hAnsi="Garamond"/>
          <w:i/>
          <w:sz w:val="24"/>
          <w:szCs w:val="24"/>
        </w:rPr>
        <w:t>Can Muslim States Enslave Muslims?</w:t>
      </w:r>
      <w:r w:rsidRPr="00101776">
        <w:rPr>
          <w:rFonts w:ascii="Garamond" w:hAnsi="Garamond"/>
          <w:b w:val="0"/>
          <w:sz w:val="24"/>
          <w:szCs w:val="24"/>
        </w:rPr>
        <w:t xml:space="preserve"> (1614)</w:t>
      </w:r>
    </w:p>
    <w:p w14:paraId="3C896B2E" w14:textId="77777777" w:rsidR="009C2BA6" w:rsidRPr="00101776" w:rsidRDefault="00000000">
      <w:pPr>
        <w:keepLines/>
        <w:rPr>
          <w:rFonts w:ascii="Garamond" w:hAnsi="Garamond"/>
          <w:sz w:val="24"/>
          <w:szCs w:val="24"/>
        </w:rPr>
      </w:pPr>
      <w:r w:rsidRPr="00101776">
        <w:rPr>
          <w:rFonts w:ascii="Garamond" w:hAnsi="Garamond"/>
          <w:sz w:val="24"/>
          <w:szCs w:val="24"/>
        </w:rPr>
        <w:t>Religious status; lawful captivity; protection. What are the scope and limits of Baba’s challenge to enslavement?</w:t>
      </w:r>
    </w:p>
    <w:p w14:paraId="7EE194DB"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French monarchy under Louis XIV, </w:t>
      </w:r>
      <w:r w:rsidRPr="00101776">
        <w:rPr>
          <w:rFonts w:ascii="Garamond" w:hAnsi="Garamond"/>
          <w:i/>
          <w:sz w:val="24"/>
          <w:szCs w:val="24"/>
        </w:rPr>
        <w:t>Code Noir</w:t>
      </w:r>
      <w:r w:rsidRPr="00101776">
        <w:rPr>
          <w:rFonts w:ascii="Garamond" w:hAnsi="Garamond"/>
          <w:b w:val="0"/>
          <w:sz w:val="24"/>
          <w:szCs w:val="24"/>
        </w:rPr>
        <w:t xml:space="preserve"> (1685)</w:t>
      </w:r>
    </w:p>
    <w:p w14:paraId="2F188AE6" w14:textId="77777777" w:rsidR="009C2BA6" w:rsidRPr="00101776" w:rsidRDefault="00000000">
      <w:pPr>
        <w:keepLines/>
        <w:rPr>
          <w:rFonts w:ascii="Garamond" w:hAnsi="Garamond"/>
          <w:sz w:val="24"/>
          <w:szCs w:val="24"/>
        </w:rPr>
      </w:pPr>
      <w:r w:rsidRPr="00101776">
        <w:rPr>
          <w:rFonts w:ascii="Garamond" w:hAnsi="Garamond"/>
          <w:sz w:val="24"/>
          <w:szCs w:val="24"/>
        </w:rPr>
        <w:t>Property; religion; kinship; legal standing. How do the code’s protections relate to the powers it grants?</w:t>
      </w:r>
    </w:p>
    <w:p w14:paraId="5B955E43"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Yaa Gyasi, </w:t>
      </w:r>
      <w:r w:rsidRPr="00101776">
        <w:rPr>
          <w:rFonts w:ascii="Garamond" w:hAnsi="Garamond"/>
          <w:i/>
          <w:sz w:val="24"/>
          <w:szCs w:val="24"/>
        </w:rPr>
        <w:t>Homegoing</w:t>
      </w:r>
      <w:r w:rsidRPr="00101776">
        <w:rPr>
          <w:rFonts w:ascii="Garamond" w:hAnsi="Garamond"/>
          <w:b w:val="0"/>
          <w:sz w:val="24"/>
          <w:szCs w:val="24"/>
        </w:rPr>
        <w:t xml:space="preserve"> (2016; Effia and Esi)</w:t>
      </w:r>
    </w:p>
    <w:p w14:paraId="0C4E1FD6" w14:textId="77777777" w:rsidR="009C2BA6" w:rsidRPr="00101776" w:rsidRDefault="00000000">
      <w:pPr>
        <w:keepLines/>
        <w:rPr>
          <w:rFonts w:ascii="Garamond" w:hAnsi="Garamond"/>
          <w:sz w:val="24"/>
          <w:szCs w:val="24"/>
        </w:rPr>
      </w:pPr>
      <w:r w:rsidRPr="00101776">
        <w:rPr>
          <w:rFonts w:ascii="Garamond" w:hAnsi="Garamond"/>
          <w:sz w:val="24"/>
          <w:szCs w:val="24"/>
        </w:rPr>
        <w:t>Family; captivity; complicity; narrative perspective. How do the chapters’ perspectives shape your understanding of power and protection?</w:t>
      </w:r>
    </w:p>
    <w:p w14:paraId="2C281302" w14:textId="77777777" w:rsidR="009C2BA6" w:rsidRPr="00101776" w:rsidRDefault="00000000">
      <w:pPr>
        <w:pStyle w:val="Heading1"/>
        <w:rPr>
          <w:rFonts w:ascii="Garamond" w:hAnsi="Garamond"/>
          <w:i/>
          <w:iCs/>
          <w:sz w:val="24"/>
          <w:szCs w:val="24"/>
        </w:rPr>
      </w:pPr>
      <w:r w:rsidRPr="00101776">
        <w:rPr>
          <w:rFonts w:ascii="Garamond" w:hAnsi="Garamond"/>
          <w:i/>
          <w:iCs/>
          <w:sz w:val="24"/>
          <w:szCs w:val="24"/>
        </w:rPr>
        <w:t>The Haitian Revolution</w:t>
      </w:r>
    </w:p>
    <w:p w14:paraId="186E0B65"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C. L. R. James, </w:t>
      </w:r>
      <w:r w:rsidRPr="00101776">
        <w:rPr>
          <w:rFonts w:ascii="Garamond" w:hAnsi="Garamond"/>
          <w:i/>
          <w:sz w:val="24"/>
          <w:szCs w:val="24"/>
        </w:rPr>
        <w:t>The Black Jacobins</w:t>
      </w:r>
      <w:r w:rsidRPr="00101776">
        <w:rPr>
          <w:rFonts w:ascii="Garamond" w:hAnsi="Garamond"/>
          <w:b w:val="0"/>
          <w:sz w:val="24"/>
          <w:szCs w:val="24"/>
        </w:rPr>
        <w:t xml:space="preserve"> (1938; first-edition preface and chapter IV)</w:t>
      </w:r>
    </w:p>
    <w:p w14:paraId="50B7E919" w14:textId="77777777" w:rsidR="009C2BA6" w:rsidRPr="00101776" w:rsidRDefault="00000000">
      <w:pPr>
        <w:keepLines/>
        <w:rPr>
          <w:rFonts w:ascii="Garamond" w:hAnsi="Garamond"/>
          <w:sz w:val="24"/>
          <w:szCs w:val="24"/>
        </w:rPr>
      </w:pPr>
      <w:r w:rsidRPr="00101776">
        <w:rPr>
          <w:rFonts w:ascii="Garamond" w:hAnsi="Garamond"/>
          <w:sz w:val="24"/>
          <w:szCs w:val="24"/>
        </w:rPr>
        <w:t>Leadership; collective action; historical conditions. How does James explain who makes a revolution?</w:t>
      </w:r>
    </w:p>
    <w:p w14:paraId="3A7641E5"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Léger Félicité Sonthonax, </w:t>
      </w:r>
      <w:r w:rsidRPr="00101776">
        <w:rPr>
          <w:rFonts w:ascii="Garamond" w:hAnsi="Garamond"/>
          <w:i/>
          <w:sz w:val="24"/>
          <w:szCs w:val="24"/>
        </w:rPr>
        <w:t>Decree of General Liberty</w:t>
      </w:r>
      <w:r w:rsidRPr="00101776">
        <w:rPr>
          <w:rFonts w:ascii="Garamond" w:hAnsi="Garamond"/>
          <w:b w:val="0"/>
          <w:sz w:val="24"/>
          <w:szCs w:val="24"/>
        </w:rPr>
        <w:t xml:space="preserve"> (1793; document 25)</w:t>
      </w:r>
    </w:p>
    <w:p w14:paraId="65CAB18D" w14:textId="77777777" w:rsidR="009C2BA6" w:rsidRPr="00101776" w:rsidRDefault="00000000">
      <w:pPr>
        <w:keepLines/>
        <w:rPr>
          <w:rFonts w:ascii="Garamond" w:hAnsi="Garamond"/>
          <w:sz w:val="24"/>
          <w:szCs w:val="24"/>
        </w:rPr>
      </w:pPr>
      <w:r w:rsidRPr="00101776">
        <w:rPr>
          <w:rFonts w:ascii="Garamond" w:hAnsi="Garamond"/>
          <w:sz w:val="24"/>
          <w:szCs w:val="24"/>
        </w:rPr>
        <w:t>Citizenship; emancipation; labor; obligation. What conception of freedom emerges from the decree?</w:t>
      </w:r>
    </w:p>
    <w:p w14:paraId="2C0A5361"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Colonial Assembly under Toussaint Louverture, </w:t>
      </w:r>
      <w:r w:rsidRPr="00101776">
        <w:rPr>
          <w:rFonts w:ascii="Garamond" w:hAnsi="Garamond"/>
          <w:i/>
          <w:sz w:val="24"/>
          <w:szCs w:val="24"/>
        </w:rPr>
        <w:t>Constitution of Saint Domingue</w:t>
      </w:r>
      <w:r w:rsidRPr="00101776">
        <w:rPr>
          <w:rFonts w:ascii="Garamond" w:hAnsi="Garamond"/>
          <w:b w:val="0"/>
          <w:sz w:val="24"/>
          <w:szCs w:val="24"/>
        </w:rPr>
        <w:t xml:space="preserve"> (1801)</w:t>
      </w:r>
    </w:p>
    <w:p w14:paraId="232D6BF5" w14:textId="77777777" w:rsidR="009C2BA6" w:rsidRPr="00101776" w:rsidRDefault="00000000">
      <w:pPr>
        <w:keepLines/>
        <w:rPr>
          <w:rFonts w:ascii="Garamond" w:hAnsi="Garamond"/>
          <w:sz w:val="24"/>
          <w:szCs w:val="24"/>
        </w:rPr>
      </w:pPr>
      <w:r w:rsidRPr="00101776">
        <w:rPr>
          <w:rFonts w:ascii="Garamond" w:hAnsi="Garamond"/>
          <w:sz w:val="24"/>
          <w:szCs w:val="24"/>
        </w:rPr>
        <w:t>Abolition; agriculture; political authority; France. How does the constitution propose to secure freedom?</w:t>
      </w:r>
    </w:p>
    <w:p w14:paraId="209366EE"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Toussaint Louverture, </w:t>
      </w:r>
      <w:r w:rsidRPr="00101776">
        <w:rPr>
          <w:rFonts w:ascii="Garamond" w:hAnsi="Garamond"/>
          <w:i/>
          <w:sz w:val="24"/>
          <w:szCs w:val="24"/>
        </w:rPr>
        <w:t>Letter to Bonaparte on the Constitution</w:t>
      </w:r>
      <w:r w:rsidRPr="00101776">
        <w:rPr>
          <w:rFonts w:ascii="Garamond" w:hAnsi="Garamond"/>
          <w:b w:val="0"/>
          <w:sz w:val="24"/>
          <w:szCs w:val="24"/>
        </w:rPr>
        <w:t xml:space="preserve"> (July 16, 1801)</w:t>
      </w:r>
    </w:p>
    <w:p w14:paraId="51E07288" w14:textId="77777777" w:rsidR="009C2BA6" w:rsidRPr="00101776" w:rsidRDefault="00000000">
      <w:pPr>
        <w:keepLines/>
        <w:rPr>
          <w:rFonts w:ascii="Garamond" w:hAnsi="Garamond"/>
          <w:sz w:val="24"/>
          <w:szCs w:val="24"/>
        </w:rPr>
      </w:pPr>
      <w:r w:rsidRPr="00101776">
        <w:rPr>
          <w:rFonts w:ascii="Garamond" w:hAnsi="Garamond"/>
          <w:sz w:val="24"/>
          <w:szCs w:val="24"/>
        </w:rPr>
        <w:t>Local judgment; authorization; political audience. What does Toussaint ask Bonaparte to recognize?</w:t>
      </w:r>
    </w:p>
    <w:p w14:paraId="2A969C7B"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Toussaint Louverture, </w:t>
      </w:r>
      <w:r w:rsidRPr="00101776">
        <w:rPr>
          <w:rFonts w:ascii="Garamond" w:hAnsi="Garamond"/>
          <w:i/>
          <w:sz w:val="24"/>
          <w:szCs w:val="24"/>
        </w:rPr>
        <w:t>Letter to Napoleon from Fort de Joux</w:t>
      </w:r>
      <w:r w:rsidRPr="00101776">
        <w:rPr>
          <w:rFonts w:ascii="Garamond" w:hAnsi="Garamond"/>
          <w:b w:val="0"/>
          <w:sz w:val="24"/>
          <w:szCs w:val="24"/>
        </w:rPr>
        <w:t xml:space="preserve"> (September 17, 1802)</w:t>
      </w:r>
    </w:p>
    <w:p w14:paraId="6EFDE2B0" w14:textId="77777777" w:rsidR="009C2BA6" w:rsidRPr="00101776" w:rsidRDefault="00000000">
      <w:pPr>
        <w:keepLines/>
        <w:rPr>
          <w:rFonts w:ascii="Garamond" w:hAnsi="Garamond"/>
          <w:sz w:val="24"/>
          <w:szCs w:val="24"/>
        </w:rPr>
      </w:pPr>
      <w:r w:rsidRPr="00101776">
        <w:rPr>
          <w:rFonts w:ascii="Garamond" w:hAnsi="Garamond"/>
          <w:sz w:val="24"/>
          <w:szCs w:val="24"/>
        </w:rPr>
        <w:t>Service; justice; dependence; petition. What grounds Toussaint’s appeal, and what limits his position?</w:t>
      </w:r>
    </w:p>
    <w:p w14:paraId="1CEE6922"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Dessalines and the revolutionary leadership, </w:t>
      </w:r>
      <w:r w:rsidRPr="00101776">
        <w:rPr>
          <w:rFonts w:ascii="Garamond" w:hAnsi="Garamond"/>
          <w:i/>
          <w:sz w:val="24"/>
          <w:szCs w:val="24"/>
        </w:rPr>
        <w:t>Haitian Declaration of Independence</w:t>
      </w:r>
      <w:r w:rsidRPr="00101776">
        <w:rPr>
          <w:rFonts w:ascii="Garamond" w:hAnsi="Garamond"/>
          <w:b w:val="0"/>
          <w:sz w:val="24"/>
          <w:szCs w:val="24"/>
        </w:rPr>
        <w:t xml:space="preserve"> (1804; document 46)</w:t>
      </w:r>
    </w:p>
    <w:p w14:paraId="0144061C" w14:textId="77777777" w:rsidR="009C2BA6" w:rsidRPr="00101776" w:rsidRDefault="00000000">
      <w:pPr>
        <w:keepLines/>
        <w:rPr>
          <w:rFonts w:ascii="Garamond" w:hAnsi="Garamond"/>
          <w:sz w:val="24"/>
          <w:szCs w:val="24"/>
        </w:rPr>
      </w:pPr>
      <w:r w:rsidRPr="00101776">
        <w:rPr>
          <w:rFonts w:ascii="Garamond" w:hAnsi="Garamond"/>
          <w:sz w:val="24"/>
          <w:szCs w:val="24"/>
        </w:rPr>
        <w:t>Security; sovereignty; memory; national belonging. How are independence and liberty connected in the declaration?</w:t>
      </w:r>
    </w:p>
    <w:p w14:paraId="29AB21F6"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Susan Buck-Morss, </w:t>
      </w:r>
      <w:r w:rsidRPr="00101776">
        <w:rPr>
          <w:rFonts w:ascii="Garamond" w:hAnsi="Garamond"/>
          <w:i/>
          <w:sz w:val="24"/>
          <w:szCs w:val="24"/>
        </w:rPr>
        <w:t>Hegel and Haiti</w:t>
      </w:r>
      <w:r w:rsidRPr="00101776">
        <w:rPr>
          <w:rFonts w:ascii="Garamond" w:hAnsi="Garamond"/>
          <w:b w:val="0"/>
          <w:sz w:val="24"/>
          <w:szCs w:val="24"/>
        </w:rPr>
        <w:t xml:space="preserve"> (2000)</w:t>
      </w:r>
    </w:p>
    <w:p w14:paraId="2542A047" w14:textId="77777777" w:rsidR="009C2BA6" w:rsidRPr="00101776" w:rsidRDefault="00000000">
      <w:pPr>
        <w:keepLines/>
        <w:rPr>
          <w:rFonts w:ascii="Garamond" w:hAnsi="Garamond"/>
          <w:sz w:val="24"/>
          <w:szCs w:val="24"/>
        </w:rPr>
      </w:pPr>
      <w:r w:rsidRPr="00101776">
        <w:rPr>
          <w:rFonts w:ascii="Garamond" w:hAnsi="Garamond"/>
          <w:sz w:val="24"/>
          <w:szCs w:val="24"/>
        </w:rPr>
        <w:t>Universal freedom; recognition; historical interpretation. What changes when Haiti enters the history of European philosophy?</w:t>
      </w:r>
    </w:p>
    <w:p w14:paraId="080B94D5" w14:textId="77777777" w:rsidR="009C2BA6" w:rsidRPr="00101776" w:rsidRDefault="00000000">
      <w:pPr>
        <w:pStyle w:val="Heading1"/>
        <w:pageBreakBefore/>
        <w:spacing w:before="0"/>
        <w:rPr>
          <w:rFonts w:ascii="Garamond" w:hAnsi="Garamond"/>
          <w:i/>
          <w:iCs/>
          <w:sz w:val="24"/>
          <w:szCs w:val="24"/>
        </w:rPr>
      </w:pPr>
      <w:r w:rsidRPr="00101776">
        <w:rPr>
          <w:rFonts w:ascii="Garamond" w:hAnsi="Garamond"/>
          <w:i/>
          <w:iCs/>
          <w:sz w:val="24"/>
          <w:szCs w:val="24"/>
        </w:rPr>
        <w:lastRenderedPageBreak/>
        <w:t>Medicine and bodily authority</w:t>
      </w:r>
    </w:p>
    <w:p w14:paraId="3F5960B8"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Deirdre Cooper Owens, </w:t>
      </w:r>
      <w:r w:rsidRPr="00101776">
        <w:rPr>
          <w:rFonts w:ascii="Garamond" w:hAnsi="Garamond"/>
          <w:i/>
          <w:sz w:val="24"/>
          <w:szCs w:val="24"/>
        </w:rPr>
        <w:t>Medical Bondage</w:t>
      </w:r>
      <w:r w:rsidRPr="00101776">
        <w:rPr>
          <w:rFonts w:ascii="Garamond" w:hAnsi="Garamond"/>
          <w:b w:val="0"/>
          <w:sz w:val="24"/>
          <w:szCs w:val="24"/>
        </w:rPr>
        <w:t xml:space="preserve"> (2017; introduction and pp. 89–107)</w:t>
      </w:r>
    </w:p>
    <w:p w14:paraId="62E050EA" w14:textId="77777777" w:rsidR="009C2BA6" w:rsidRPr="00101776" w:rsidRDefault="00000000">
      <w:pPr>
        <w:keepLines/>
        <w:rPr>
          <w:rFonts w:ascii="Garamond" w:hAnsi="Garamond"/>
          <w:sz w:val="24"/>
          <w:szCs w:val="24"/>
        </w:rPr>
      </w:pPr>
      <w:r w:rsidRPr="00101776">
        <w:rPr>
          <w:rFonts w:ascii="Garamond" w:hAnsi="Garamond"/>
          <w:sz w:val="24"/>
          <w:szCs w:val="24"/>
        </w:rPr>
        <w:t>Race; gender; knowledge; consent; Black and Irish women. Which similarities and differences matter in comparing medical authority? Revisit alongside Hidden Brain, Remembering Anarcha, Lucy, and Betsey (2016).</w:t>
      </w:r>
    </w:p>
    <w:p w14:paraId="528D0FFA"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Charly Evon Simpson, </w:t>
      </w:r>
      <w:r w:rsidRPr="00101776">
        <w:rPr>
          <w:rFonts w:ascii="Garamond" w:hAnsi="Garamond"/>
          <w:i/>
          <w:sz w:val="24"/>
          <w:szCs w:val="24"/>
        </w:rPr>
        <w:t>Behind the Sheet</w:t>
      </w:r>
      <w:r w:rsidRPr="00101776">
        <w:rPr>
          <w:rFonts w:ascii="Garamond" w:hAnsi="Garamond"/>
          <w:b w:val="0"/>
          <w:sz w:val="24"/>
          <w:szCs w:val="24"/>
        </w:rPr>
        <w:t xml:space="preserve"> (first produced 2019; entire play)</w:t>
      </w:r>
    </w:p>
    <w:p w14:paraId="08AAC40A" w14:textId="77777777" w:rsidR="009C2BA6" w:rsidRPr="00101776" w:rsidRDefault="00000000">
      <w:pPr>
        <w:keepLines/>
        <w:rPr>
          <w:rFonts w:ascii="Garamond" w:hAnsi="Garamond"/>
          <w:sz w:val="24"/>
          <w:szCs w:val="24"/>
        </w:rPr>
      </w:pPr>
      <w:r w:rsidRPr="00101776">
        <w:rPr>
          <w:rFonts w:ascii="Garamond" w:hAnsi="Garamond"/>
          <w:sz w:val="24"/>
          <w:szCs w:val="24"/>
        </w:rPr>
        <w:t>Care; bodily control; voice; dramatic form. How does the play direct attention to the women’s purposes?</w:t>
      </w:r>
    </w:p>
    <w:p w14:paraId="1A2F5B6C" w14:textId="77777777" w:rsidR="009C2BA6" w:rsidRPr="00101776" w:rsidRDefault="00000000">
      <w:pPr>
        <w:pStyle w:val="Heading1"/>
        <w:rPr>
          <w:rFonts w:ascii="Garamond" w:hAnsi="Garamond"/>
          <w:i/>
          <w:iCs/>
          <w:sz w:val="24"/>
          <w:szCs w:val="24"/>
        </w:rPr>
      </w:pPr>
      <w:r w:rsidRPr="00101776">
        <w:rPr>
          <w:rFonts w:ascii="Garamond" w:hAnsi="Garamond"/>
          <w:i/>
          <w:iCs/>
          <w:sz w:val="24"/>
          <w:szCs w:val="24"/>
        </w:rPr>
        <w:t>Empire and self government</w:t>
      </w:r>
    </w:p>
    <w:p w14:paraId="25D30305"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John T. McGreevy, </w:t>
      </w:r>
      <w:r w:rsidRPr="00101776">
        <w:rPr>
          <w:rFonts w:ascii="Garamond" w:hAnsi="Garamond"/>
          <w:i/>
          <w:sz w:val="24"/>
          <w:szCs w:val="24"/>
        </w:rPr>
        <w:t>Catholicism</w:t>
      </w:r>
      <w:r w:rsidRPr="00101776">
        <w:rPr>
          <w:rFonts w:ascii="Garamond" w:hAnsi="Garamond"/>
          <w:b w:val="0"/>
          <w:sz w:val="24"/>
          <w:szCs w:val="24"/>
        </w:rPr>
        <w:t xml:space="preserve"> (2022; chapter 6, Empire, pp. 135–155)</w:t>
      </w:r>
    </w:p>
    <w:p w14:paraId="2B27A6EB" w14:textId="77777777" w:rsidR="009C2BA6" w:rsidRPr="00101776" w:rsidRDefault="00000000">
      <w:pPr>
        <w:keepLines/>
        <w:rPr>
          <w:rFonts w:ascii="Garamond" w:hAnsi="Garamond"/>
          <w:sz w:val="24"/>
          <w:szCs w:val="24"/>
        </w:rPr>
      </w:pPr>
      <w:r w:rsidRPr="00101776">
        <w:rPr>
          <w:rFonts w:ascii="Garamond" w:hAnsi="Garamond"/>
          <w:sz w:val="24"/>
          <w:szCs w:val="24"/>
        </w:rPr>
        <w:t>Mission; conversion; protection; local agency. How should religious and imperial authority be distinguished?</w:t>
      </w:r>
    </w:p>
    <w:p w14:paraId="2B3B3F84"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Smedley D. Butler, </w:t>
      </w:r>
      <w:r w:rsidRPr="00101776">
        <w:rPr>
          <w:rFonts w:ascii="Garamond" w:hAnsi="Garamond"/>
          <w:i/>
          <w:sz w:val="24"/>
          <w:szCs w:val="24"/>
        </w:rPr>
        <w:t>War Is a Racket</w:t>
      </w:r>
      <w:r w:rsidRPr="00101776">
        <w:rPr>
          <w:rFonts w:ascii="Garamond" w:hAnsi="Garamond"/>
          <w:b w:val="0"/>
          <w:sz w:val="24"/>
          <w:szCs w:val="24"/>
        </w:rPr>
        <w:t xml:space="preserve"> (1935; pp. 3–16)</w:t>
      </w:r>
    </w:p>
    <w:p w14:paraId="1B0082FF" w14:textId="77777777" w:rsidR="009C2BA6" w:rsidRPr="00101776" w:rsidRDefault="00000000">
      <w:pPr>
        <w:keepLines/>
        <w:rPr>
          <w:rFonts w:ascii="Garamond" w:hAnsi="Garamond"/>
          <w:sz w:val="24"/>
          <w:szCs w:val="24"/>
        </w:rPr>
      </w:pPr>
      <w:r w:rsidRPr="00101776">
        <w:rPr>
          <w:rFonts w:ascii="Garamond" w:hAnsi="Garamond"/>
          <w:sz w:val="24"/>
          <w:szCs w:val="24"/>
        </w:rPr>
        <w:t>Profit; public benefit; sacrifice; accountability. How well do Butler’s remedies address his diagnosis?</w:t>
      </w:r>
    </w:p>
    <w:p w14:paraId="7DAE3485"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José Martí, </w:t>
      </w:r>
      <w:r w:rsidRPr="00101776">
        <w:rPr>
          <w:rFonts w:ascii="Garamond" w:hAnsi="Garamond"/>
          <w:i/>
          <w:sz w:val="24"/>
          <w:szCs w:val="24"/>
        </w:rPr>
        <w:t>Our America</w:t>
      </w:r>
      <w:r w:rsidRPr="00101776">
        <w:rPr>
          <w:rFonts w:ascii="Garamond" w:hAnsi="Garamond"/>
          <w:b w:val="0"/>
          <w:sz w:val="24"/>
          <w:szCs w:val="24"/>
        </w:rPr>
        <w:t xml:space="preserve"> (1891)</w:t>
      </w:r>
    </w:p>
    <w:p w14:paraId="1F21C1E3" w14:textId="77777777" w:rsidR="009C2BA6" w:rsidRPr="00101776" w:rsidRDefault="00000000">
      <w:pPr>
        <w:keepLines/>
        <w:rPr>
          <w:rFonts w:ascii="Garamond" w:hAnsi="Garamond"/>
          <w:sz w:val="24"/>
          <w:szCs w:val="24"/>
        </w:rPr>
      </w:pPr>
      <w:r w:rsidRPr="00101776">
        <w:rPr>
          <w:rFonts w:ascii="Garamond" w:hAnsi="Garamond"/>
          <w:sz w:val="24"/>
          <w:szCs w:val="24"/>
        </w:rPr>
        <w:t>Local knowledge; political education; self-government. What makes a government one that its people can call their own?</w:t>
      </w:r>
    </w:p>
    <w:p w14:paraId="6D17E6C5"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Gabriel García Márquez, </w:t>
      </w:r>
      <w:r w:rsidRPr="00101776">
        <w:rPr>
          <w:rFonts w:ascii="Garamond" w:hAnsi="Garamond"/>
          <w:i/>
          <w:sz w:val="24"/>
          <w:szCs w:val="24"/>
        </w:rPr>
        <w:t>One Hundred Years of Solitude</w:t>
      </w:r>
      <w:r w:rsidRPr="00101776">
        <w:rPr>
          <w:rFonts w:ascii="Garamond" w:hAnsi="Garamond"/>
          <w:b w:val="0"/>
          <w:sz w:val="24"/>
          <w:szCs w:val="24"/>
        </w:rPr>
        <w:t xml:space="preserve"> (1967; chapters 12 and 15 selections)</w:t>
      </w:r>
    </w:p>
    <w:p w14:paraId="48FD1471" w14:textId="77777777" w:rsidR="009C2BA6" w:rsidRPr="00101776" w:rsidRDefault="00000000">
      <w:pPr>
        <w:keepLines/>
        <w:rPr>
          <w:rFonts w:ascii="Garamond" w:hAnsi="Garamond"/>
          <w:sz w:val="24"/>
          <w:szCs w:val="24"/>
        </w:rPr>
      </w:pPr>
      <w:r w:rsidRPr="00101776">
        <w:rPr>
          <w:rFonts w:ascii="Garamond" w:hAnsi="Garamond"/>
          <w:sz w:val="24"/>
          <w:szCs w:val="24"/>
        </w:rPr>
        <w:t>Development; labor; violence; memory; narrative form. How is power exercised and contested in Macondo?</w:t>
      </w:r>
    </w:p>
    <w:p w14:paraId="30061D13" w14:textId="77777777" w:rsidR="009C2BA6" w:rsidRPr="00101776" w:rsidRDefault="00000000">
      <w:pPr>
        <w:pStyle w:val="Heading1"/>
        <w:rPr>
          <w:rFonts w:ascii="Garamond" w:hAnsi="Garamond"/>
          <w:i/>
          <w:iCs/>
          <w:sz w:val="24"/>
          <w:szCs w:val="24"/>
        </w:rPr>
      </w:pPr>
      <w:r w:rsidRPr="00101776">
        <w:rPr>
          <w:rFonts w:ascii="Garamond" w:hAnsi="Garamond"/>
          <w:i/>
          <w:iCs/>
          <w:sz w:val="24"/>
          <w:szCs w:val="24"/>
        </w:rPr>
        <w:t>Liberation and religious responsibility</w:t>
      </w:r>
    </w:p>
    <w:p w14:paraId="75963C90"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Gustavo Gutiérrez, </w:t>
      </w:r>
      <w:r w:rsidRPr="00101776">
        <w:rPr>
          <w:rFonts w:ascii="Garamond" w:hAnsi="Garamond"/>
          <w:i/>
          <w:sz w:val="24"/>
          <w:szCs w:val="24"/>
        </w:rPr>
        <w:t>A Theology of Liberation</w:t>
      </w:r>
      <w:r w:rsidRPr="00101776">
        <w:rPr>
          <w:rFonts w:ascii="Garamond" w:hAnsi="Garamond"/>
          <w:b w:val="0"/>
          <w:sz w:val="24"/>
          <w:szCs w:val="24"/>
        </w:rPr>
        <w:t xml:space="preserve"> (1971; chapters 1 and 9)</w:t>
      </w:r>
    </w:p>
    <w:p w14:paraId="1F9E5846" w14:textId="77777777" w:rsidR="009C2BA6" w:rsidRPr="00101776" w:rsidRDefault="00000000">
      <w:pPr>
        <w:keepLines/>
        <w:rPr>
          <w:rFonts w:ascii="Garamond" w:hAnsi="Garamond"/>
          <w:sz w:val="24"/>
          <w:szCs w:val="24"/>
        </w:rPr>
      </w:pPr>
      <w:r w:rsidRPr="00101776">
        <w:rPr>
          <w:rFonts w:ascii="Garamond" w:hAnsi="Garamond"/>
          <w:sz w:val="24"/>
          <w:szCs w:val="24"/>
        </w:rPr>
        <w:t>Praxis; salvation; social relations; liberation. How does theology bear on judgments about political authority?</w:t>
      </w:r>
    </w:p>
    <w:p w14:paraId="18AD47EE"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Óscar Romero, </w:t>
      </w:r>
      <w:r w:rsidRPr="00101776">
        <w:rPr>
          <w:rFonts w:ascii="Garamond" w:hAnsi="Garamond"/>
          <w:i/>
          <w:sz w:val="24"/>
          <w:szCs w:val="24"/>
        </w:rPr>
        <w:t>Selected homilies</w:t>
      </w:r>
      <w:r w:rsidRPr="00101776">
        <w:rPr>
          <w:rFonts w:ascii="Garamond" w:hAnsi="Garamond"/>
          <w:b w:val="0"/>
          <w:sz w:val="24"/>
          <w:szCs w:val="24"/>
        </w:rPr>
        <w:t xml:space="preserve"> (use each assigned homily’s title and date)</w:t>
      </w:r>
    </w:p>
    <w:p w14:paraId="4AAD2869" w14:textId="77777777" w:rsidR="009C2BA6" w:rsidRPr="00101776" w:rsidRDefault="00000000">
      <w:pPr>
        <w:keepLines/>
        <w:rPr>
          <w:rFonts w:ascii="Garamond" w:hAnsi="Garamond"/>
          <w:sz w:val="24"/>
          <w:szCs w:val="24"/>
        </w:rPr>
      </w:pPr>
      <w:r w:rsidRPr="00101776">
        <w:rPr>
          <w:rFonts w:ascii="Garamond" w:hAnsi="Garamond"/>
          <w:sz w:val="24"/>
          <w:szCs w:val="24"/>
        </w:rPr>
        <w:t>Scripture; human dignity; Christian responsibility. What does the homily ask of its audience, and on what grounds?</w:t>
      </w:r>
    </w:p>
    <w:p w14:paraId="6FF431C3" w14:textId="77777777" w:rsidR="009C2BA6" w:rsidRPr="00101776" w:rsidRDefault="00000000">
      <w:pPr>
        <w:pStyle w:val="Heading2"/>
        <w:rPr>
          <w:rFonts w:ascii="Garamond" w:hAnsi="Garamond"/>
          <w:sz w:val="24"/>
          <w:szCs w:val="24"/>
        </w:rPr>
      </w:pPr>
      <w:r w:rsidRPr="00101776">
        <w:rPr>
          <w:rFonts w:ascii="Garamond" w:hAnsi="Garamond"/>
          <w:sz w:val="24"/>
          <w:szCs w:val="24"/>
        </w:rPr>
        <w:t xml:space="preserve">John T. McGreevy, </w:t>
      </w:r>
      <w:r w:rsidRPr="00101776">
        <w:rPr>
          <w:rFonts w:ascii="Garamond" w:hAnsi="Garamond"/>
          <w:i/>
          <w:sz w:val="24"/>
          <w:szCs w:val="24"/>
        </w:rPr>
        <w:t>Catholicism</w:t>
      </w:r>
      <w:r w:rsidRPr="00101776">
        <w:rPr>
          <w:rFonts w:ascii="Garamond" w:hAnsi="Garamond"/>
          <w:b w:val="0"/>
          <w:sz w:val="24"/>
          <w:szCs w:val="24"/>
        </w:rPr>
        <w:t xml:space="preserve"> (2022; chapter 7, Nation, pp. 156–186)</w:t>
      </w:r>
    </w:p>
    <w:p w14:paraId="0625FC15" w14:textId="77777777" w:rsidR="009C2BA6" w:rsidRPr="00101776" w:rsidRDefault="00000000">
      <w:pPr>
        <w:keepLines/>
        <w:rPr>
          <w:rFonts w:ascii="Garamond" w:hAnsi="Garamond"/>
          <w:sz w:val="24"/>
          <w:szCs w:val="24"/>
        </w:rPr>
      </w:pPr>
      <w:r w:rsidRPr="00101776">
        <w:rPr>
          <w:rFonts w:ascii="Garamond" w:hAnsi="Garamond"/>
          <w:sz w:val="24"/>
          <w:szCs w:val="24"/>
        </w:rPr>
        <w:t>National belonging; religious freedom; representation. Who can speak for a religious or national community?</w:t>
      </w:r>
    </w:p>
    <w:sectPr w:rsidR="009C2BA6" w:rsidRPr="00101776"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66CF76" w14:textId="77777777" w:rsidR="00741B8E" w:rsidRDefault="00741B8E">
      <w:pPr>
        <w:spacing w:after="0" w:line="240" w:lineRule="auto"/>
      </w:pPr>
      <w:r>
        <w:separator/>
      </w:r>
    </w:p>
  </w:endnote>
  <w:endnote w:type="continuationSeparator" w:id="0">
    <w:p w14:paraId="687A3449" w14:textId="77777777" w:rsidR="00741B8E" w:rsidRDefault="0074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2F889" w14:textId="77777777" w:rsidR="009C2BA6" w:rsidRDefault="00000000">
    <w:pPr>
      <w:pStyle w:val="Footer"/>
      <w:jc w:val="right"/>
    </w:pPr>
    <w:r>
      <w:rPr>
        <w:sz w:val="18"/>
      </w:rPr>
      <w:t xml:space="preserve">DWC </w:t>
    </w:r>
    <w:proofErr w:type="gramStart"/>
    <w:r>
      <w:rPr>
        <w:sz w:val="18"/>
      </w:rPr>
      <w:t>201  •</w:t>
    </w:r>
    <w:proofErr w:type="gramEnd"/>
    <w:r>
      <w:rPr>
        <w:sz w:val="18"/>
      </w:rPr>
      <w:t xml:space="preserve">  </w:t>
    </w:r>
    <w:r>
      <w:fldChar w:fldCharType="begin"/>
    </w:r>
    <w:r>
      <w:instrText>PAGE</w:instrText>
    </w:r>
    <w:r>
      <w:fldChar w:fldCharType="separate"/>
    </w:r>
    <w:r w:rsidR="003E3E9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8EF99B" w14:textId="77777777" w:rsidR="00741B8E" w:rsidRDefault="00741B8E">
      <w:pPr>
        <w:spacing w:after="0" w:line="240" w:lineRule="auto"/>
      </w:pPr>
      <w:r>
        <w:separator/>
      </w:r>
    </w:p>
  </w:footnote>
  <w:footnote w:type="continuationSeparator" w:id="0">
    <w:p w14:paraId="7915D147" w14:textId="77777777" w:rsidR="00741B8E" w:rsidRDefault="00741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1178571">
    <w:abstractNumId w:val="8"/>
  </w:num>
  <w:num w:numId="2" w16cid:durableId="992753565">
    <w:abstractNumId w:val="6"/>
  </w:num>
  <w:num w:numId="3" w16cid:durableId="1192955865">
    <w:abstractNumId w:val="5"/>
  </w:num>
  <w:num w:numId="4" w16cid:durableId="556473428">
    <w:abstractNumId w:val="4"/>
  </w:num>
  <w:num w:numId="5" w16cid:durableId="243805677">
    <w:abstractNumId w:val="7"/>
  </w:num>
  <w:num w:numId="6" w16cid:durableId="591744244">
    <w:abstractNumId w:val="3"/>
  </w:num>
  <w:num w:numId="7" w16cid:durableId="259488941">
    <w:abstractNumId w:val="2"/>
  </w:num>
  <w:num w:numId="8" w16cid:durableId="1600485472">
    <w:abstractNumId w:val="1"/>
  </w:num>
  <w:num w:numId="9" w16cid:durableId="8860708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1776"/>
    <w:rsid w:val="0015074B"/>
    <w:rsid w:val="0029639D"/>
    <w:rsid w:val="00325BC9"/>
    <w:rsid w:val="00326F90"/>
    <w:rsid w:val="00356100"/>
    <w:rsid w:val="003E3E95"/>
    <w:rsid w:val="004D03D1"/>
    <w:rsid w:val="00741B8E"/>
    <w:rsid w:val="009C2BA6"/>
    <w:rsid w:val="00AA1D8D"/>
    <w:rsid w:val="00B47730"/>
    <w:rsid w:val="00CB0664"/>
    <w:rsid w:val="00CB38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B8476"/>
  <w14:defaultImageDpi w14:val="300"/>
  <w15:docId w15:val="{1B020E89-C9B3-8C47-9E27-688006FD2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8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DWC 201 Midterm Study Guide</dc:title>
  <dc:subject>Readings through October 19 2026</dc:subject>
  <dc:creator>DWC 201</dc:creator>
  <cp:keywords/>
  <dc:description>generated by python-docx</dc:description>
  <cp:lastModifiedBy>Murray, Samuel</cp:lastModifiedBy>
  <cp:revision>3</cp:revision>
  <dcterms:created xsi:type="dcterms:W3CDTF">2026-10-15T18:45:00Z</dcterms:created>
  <dcterms:modified xsi:type="dcterms:W3CDTF">2026-10-15T18:46:00Z</dcterms:modified>
  <cp:category/>
</cp:coreProperties>
</file>